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B6" w:rsidRPr="00FC12B6" w:rsidRDefault="00FC12B6" w:rsidP="00122E66">
      <w:pPr>
        <w:spacing w:after="0"/>
        <w:ind w:left="6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2B6">
        <w:rPr>
          <w:rFonts w:ascii="Times New Roman" w:hAnsi="Times New Roman" w:cs="Times New Roman"/>
          <w:b/>
          <w:i/>
          <w:sz w:val="24"/>
          <w:szCs w:val="24"/>
        </w:rPr>
        <w:t>Приложение № 11</w:t>
      </w:r>
    </w:p>
    <w:p w:rsidR="00FC12B6" w:rsidRPr="00FC12B6" w:rsidRDefault="00FC12B6" w:rsidP="00122E66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«УТВЕРЖДЕН»</w:t>
      </w:r>
    </w:p>
    <w:p w:rsidR="00FC12B6" w:rsidRPr="00FC12B6" w:rsidRDefault="00FC12B6" w:rsidP="00122E66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По</w:t>
      </w:r>
      <w:r w:rsidR="00073F64">
        <w:rPr>
          <w:rFonts w:ascii="Times New Roman" w:hAnsi="Times New Roman" w:cs="Times New Roman"/>
          <w:sz w:val="24"/>
          <w:szCs w:val="24"/>
        </w:rPr>
        <w:t>становлением Главы Тунгусовского</w:t>
      </w:r>
    </w:p>
    <w:p w:rsidR="00FC12B6" w:rsidRPr="00FC12B6" w:rsidRDefault="00FC12B6" w:rsidP="00122E66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сельского поселения № 194</w:t>
      </w:r>
    </w:p>
    <w:p w:rsidR="00FC12B6" w:rsidRPr="00FC12B6" w:rsidRDefault="00FC12B6" w:rsidP="00122E66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от «_23_»__ноября_____2012 г.</w:t>
      </w:r>
    </w:p>
    <w:p w:rsidR="00FC12B6" w:rsidRPr="00FC12B6" w:rsidRDefault="00FC12B6" w:rsidP="00122E66">
      <w:pPr>
        <w:pStyle w:val="a3"/>
        <w:tabs>
          <w:tab w:val="left" w:pos="567"/>
        </w:tabs>
        <w:spacing w:before="0" w:after="0"/>
        <w:rPr>
          <w:rFonts w:cs="Times New Roman"/>
          <w:b/>
          <w:sz w:val="24"/>
          <w:szCs w:val="24"/>
          <w:lang w:val="ru-RU"/>
        </w:rPr>
      </w:pPr>
    </w:p>
    <w:p w:rsidR="00FC12B6" w:rsidRPr="00FC12B6" w:rsidRDefault="00FC12B6" w:rsidP="00FC12B6">
      <w:pPr>
        <w:pStyle w:val="a3"/>
        <w:tabs>
          <w:tab w:val="left" w:pos="567"/>
        </w:tabs>
        <w:spacing w:before="0" w:after="0"/>
        <w:jc w:val="center"/>
        <w:rPr>
          <w:rFonts w:cs="Times New Roman"/>
          <w:b/>
          <w:sz w:val="24"/>
          <w:szCs w:val="24"/>
          <w:lang w:val="ru-RU"/>
        </w:rPr>
      </w:pPr>
      <w:r w:rsidRPr="00FC12B6">
        <w:rPr>
          <w:rFonts w:cs="Times New Roman"/>
          <w:b/>
          <w:sz w:val="24"/>
          <w:szCs w:val="24"/>
          <w:lang w:val="ru-RU"/>
        </w:rPr>
        <w:t>АДМИНИСТРАТИВНЫЙ РЕГЛАМЕНТ</w:t>
      </w:r>
    </w:p>
    <w:p w:rsidR="00FC12B6" w:rsidRPr="00122E66" w:rsidRDefault="00FC12B6" w:rsidP="00122E66">
      <w:pPr>
        <w:widowControl w:val="0"/>
        <w:suppressAutoHyphens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«В</w:t>
      </w:r>
      <w:r w:rsidRPr="00FC12B6">
        <w:rPr>
          <w:rFonts w:ascii="Times New Roman" w:hAnsi="Times New Roman" w:cs="Times New Roman"/>
          <w:b/>
          <w:kern w:val="1"/>
          <w:sz w:val="24"/>
          <w:szCs w:val="24"/>
        </w:rPr>
        <w:t>ыдача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</w:t>
      </w:r>
    </w:p>
    <w:p w:rsidR="00FC12B6" w:rsidRPr="00FC12B6" w:rsidRDefault="00FC12B6" w:rsidP="00FC12B6">
      <w:pPr>
        <w:widowControl w:val="0"/>
        <w:suppressAutoHyphens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b/>
          <w:kern w:val="1"/>
          <w:sz w:val="24"/>
          <w:szCs w:val="24"/>
        </w:rPr>
        <w:t>1. Общие положения</w:t>
      </w:r>
    </w:p>
    <w:p w:rsidR="00FC12B6" w:rsidRPr="00FC12B6" w:rsidRDefault="00FC12B6" w:rsidP="00FC12B6">
      <w:pPr>
        <w:widowControl w:val="0"/>
        <w:suppressAutoHyphens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1.1. Административный регламент предоставления  муниципальной услуги «Выдача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опасных, тяжеловесных и (или) крупногабаритных гр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узов на территории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FC12B6" w:rsidRPr="00FC12B6" w:rsidRDefault="00FC12B6" w:rsidP="00FC12B6">
      <w:pPr>
        <w:widowControl w:val="0"/>
        <w:tabs>
          <w:tab w:val="left" w:pos="5817"/>
        </w:tabs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1.2. Административный регламент по 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разработан в соответствии с Конституцией Российской Федерации, Налоговым кодексом Российской Федерации,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 Федеральным законом Российской Федерации от 27.07.2010г. № 210-ФЗ «Об организации предоставления государственных и муниципальных услуг», со статьей 14 Федерального закона Российской Федерации от 06.10.2003 № 131-ФЗ "Об общих принципах организации местного самоуправления в Российской Федерации", на основании Ус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тава Администрации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поселения.</w:t>
      </w:r>
    </w:p>
    <w:p w:rsidR="00FC12B6" w:rsidRPr="00FC12B6" w:rsidRDefault="00FC12B6" w:rsidP="00FC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ab/>
        <w:t>1.3. Разрешение на движение транспортного средства, осуществляющего перевозку опасного, крупногабаритного и (или) тяжеловесного груза по автомобильным дорогам общего пользования местного з</w:t>
      </w:r>
      <w:r w:rsidR="00122E66">
        <w:rPr>
          <w:rFonts w:ascii="Times New Roman" w:hAnsi="Times New Roman" w:cs="Times New Roman"/>
          <w:sz w:val="24"/>
          <w:szCs w:val="24"/>
        </w:rPr>
        <w:t>начения в границах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разрешение) выдае</w:t>
      </w:r>
      <w:r w:rsidR="00122E66">
        <w:rPr>
          <w:rFonts w:ascii="Times New Roman" w:hAnsi="Times New Roman" w:cs="Times New Roman"/>
          <w:sz w:val="24"/>
          <w:szCs w:val="24"/>
        </w:rPr>
        <w:t>тся Администрацией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 в случае, если маршрут, часть маршрута транспортных средств, осуществляющих перевозки опасных, тяжеловесных и (или) крупногабаритных грузов, проходят по автомобильным д</w:t>
      </w:r>
      <w:r w:rsidR="00122E66">
        <w:rPr>
          <w:rFonts w:ascii="Times New Roman" w:hAnsi="Times New Roman" w:cs="Times New Roman"/>
          <w:sz w:val="24"/>
          <w:szCs w:val="24"/>
        </w:rPr>
        <w:t>орогам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поселения, при условии, что маршрут таких транспортных средств проходит в границах </w:t>
      </w:r>
      <w:r w:rsidRPr="00FC12B6">
        <w:rPr>
          <w:rFonts w:ascii="Times New Roman" w:hAnsi="Times New Roman" w:cs="Times New Roman"/>
          <w:sz w:val="24"/>
          <w:szCs w:val="24"/>
        </w:rPr>
        <w:lastRenderedPageBreak/>
        <w:t>Молчановского сельского поселения и указанный маршрут, часть маршрута не проходят по автомобильным дорогам федерального, регионального или межмуниципального значения, участкам таких автомобильных дорог (далее - автомобильные дороги местного значения).</w:t>
      </w:r>
    </w:p>
    <w:p w:rsidR="00FC12B6" w:rsidRPr="00FC12B6" w:rsidRDefault="00FC12B6" w:rsidP="00FC12B6">
      <w:pPr>
        <w:widowControl w:val="0"/>
        <w:suppressAutoHyphens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1.4. Распоряжением Администрации поселения назначается ответственное лицо за выдачу разрешения на перевозку транспортными средствами опасных, тяжеловесных и (или) крупногабаритных. Предоставление муниципальной услуги осуществляе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тся Администрацией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через отдел по Архитектуре ЖКХ и землеустройству (далее – отдел ЖКХ).</w:t>
      </w:r>
    </w:p>
    <w:p w:rsidR="00FC12B6" w:rsidRPr="00FC12B6" w:rsidRDefault="00FC12B6" w:rsidP="00FC12B6">
      <w:pPr>
        <w:widowControl w:val="0"/>
        <w:suppressAutoHyphens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1.5. Результатом предоставления муниципальной услуги являются принимаемые Администрацией поселения  решения о 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по форме (приложение № 2) либо об отказе в выдаче такого разрешения.</w:t>
      </w:r>
    </w:p>
    <w:p w:rsidR="00FC12B6" w:rsidRPr="00FC12B6" w:rsidRDefault="00FC12B6" w:rsidP="00FC12B6">
      <w:pPr>
        <w:widowControl w:val="0"/>
        <w:suppressAutoHyphens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1.6. Разрешение выдается с учетом возмещения вреда, причиняемого транспортными средствами, осуществляющими перевозки таких грузов в размере, предусмотренном</w:t>
      </w:r>
      <w:r w:rsidRPr="00FC12B6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>постановлением Правительства Российской Федерации от 16 ноября 2009 года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1.7. Действия Администрации сельского поселения по выдаче разрешения  считаются выполненными после получения заявителем разрешения.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1.8. Заявителями являются физические или юридические лица, осуществляющие перевозку опасных, тяжеловесных и (или) крупногабаритных грузов. При наличии оформленной в соответствии с установленным законодательством Российской Федерации порядком доверенности интересы заявителей вправе представлять их представители.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1.9. </w:t>
      </w:r>
      <w:r w:rsidRPr="00FC12B6">
        <w:rPr>
          <w:rFonts w:ascii="Times New Roman" w:hAnsi="Times New Roman" w:cs="Times New Roman"/>
          <w:spacing w:val="-9"/>
          <w:kern w:val="1"/>
          <w:sz w:val="24"/>
          <w:szCs w:val="24"/>
        </w:rPr>
        <w:t xml:space="preserve">В случаях, предусмотренных федеральными законами, универсальная </w:t>
      </w:r>
      <w:r w:rsidRPr="00FC12B6">
        <w:rPr>
          <w:rFonts w:ascii="Times New Roman" w:hAnsi="Times New Roman" w:cs="Times New Roman"/>
          <w:spacing w:val="-11"/>
          <w:kern w:val="1"/>
          <w:sz w:val="24"/>
          <w:szCs w:val="24"/>
        </w:rPr>
        <w:t xml:space="preserve">электронная карта является документом, удостоверяющим личность гражданина, </w:t>
      </w:r>
      <w:r w:rsidRPr="00FC12B6">
        <w:rPr>
          <w:rFonts w:ascii="Times New Roman" w:hAnsi="Times New Roman" w:cs="Times New Roman"/>
          <w:spacing w:val="-10"/>
          <w:kern w:val="1"/>
          <w:sz w:val="24"/>
          <w:szCs w:val="24"/>
        </w:rPr>
        <w:t xml:space="preserve">права застрахованного лица в системах обязательного страхования, иные права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гражданина. В случаях, предусмотренных федеральными законами, </w:t>
      </w:r>
      <w:r w:rsidRPr="00FC12B6">
        <w:rPr>
          <w:rFonts w:ascii="Times New Roman" w:hAnsi="Times New Roman" w:cs="Times New Roman"/>
          <w:spacing w:val="-3"/>
          <w:kern w:val="1"/>
          <w:sz w:val="24"/>
          <w:szCs w:val="24"/>
        </w:rPr>
        <w:t xml:space="preserve">постановлениями Правительства Российской Федерации, нормативными </w:t>
      </w:r>
      <w:r w:rsidRPr="00FC12B6"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правовыми актами субъектов Российской Федерации, муниципальными </w:t>
      </w:r>
      <w:r w:rsidRPr="00FC12B6">
        <w:rPr>
          <w:rFonts w:ascii="Times New Roman" w:hAnsi="Times New Roman" w:cs="Times New Roman"/>
          <w:spacing w:val="-9"/>
          <w:kern w:val="1"/>
          <w:sz w:val="24"/>
          <w:szCs w:val="24"/>
        </w:rPr>
        <w:t xml:space="preserve">правовыми актами, универсальная электронная карта является документом, </w:t>
      </w:r>
      <w:r w:rsidRPr="00FC12B6">
        <w:rPr>
          <w:rFonts w:ascii="Times New Roman" w:hAnsi="Times New Roman" w:cs="Times New Roman"/>
          <w:spacing w:val="-1"/>
          <w:kern w:val="1"/>
          <w:sz w:val="24"/>
          <w:szCs w:val="24"/>
        </w:rPr>
        <w:t xml:space="preserve">удостоверяющим право гражданина на получение государственных и </w:t>
      </w:r>
      <w:r w:rsidRPr="00FC12B6">
        <w:rPr>
          <w:rFonts w:ascii="Times New Roman" w:hAnsi="Times New Roman" w:cs="Times New Roman"/>
          <w:spacing w:val="-10"/>
          <w:kern w:val="1"/>
          <w:sz w:val="24"/>
          <w:szCs w:val="24"/>
        </w:rPr>
        <w:t xml:space="preserve">муниципальных услуг.» (приведённая редакция соответствует пункту 2 статьи 22 Федерального закона Российской федерации от 27.07.2010 № 210-ФЗ «Об организации предоставления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>государственных и муниципальных услуг»).</w:t>
      </w:r>
    </w:p>
    <w:p w:rsidR="00FC12B6" w:rsidRPr="00FC12B6" w:rsidRDefault="00FC12B6" w:rsidP="00FC12B6">
      <w:pPr>
        <w:widowControl w:val="0"/>
        <w:suppressAutoHyphens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FC1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2B6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2.1. Наименование муниципальной услуги: «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>Выдача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lastRenderedPageBreak/>
        <w:t>2.2. Информация о порядке выдачи разрешения предоставляется: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непосредственно в администрации сельского поселения;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с использованием средств телефонной связи;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посредством размещения в информационно-телекоммуникационных сетях (в том числе сети Интернет).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2.3. Выдача разрешения производится на платной основе и состоит из: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оплаты государственной пошлины, за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числяемой в бюджет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(код администратора поступлений в бюджет, группы, подгруппы, статьи, подстатьи, элемента, программы (подпрограммы), кода экономической классификации доходов – </w:t>
      </w:r>
      <w:r w:rsidRPr="00FC12B6">
        <w:rPr>
          <w:rFonts w:ascii="Times New Roman" w:hAnsi="Times New Roman" w:cs="Times New Roman"/>
          <w:b/>
          <w:kern w:val="1"/>
          <w:sz w:val="24"/>
          <w:szCs w:val="24"/>
        </w:rPr>
        <w:t>901 1 08 07175 01 0000 110 – «государственная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поселений»);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платы за вред, причиненный движением по автомобильным дорогам местного значения за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числяемой в бюджет Молчановского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(код администратора поступлений в бюджет, группы, подгруппы, статьи, подстатьи, элемента, программы (подпрограммы), кода экономической классификации доходов – </w:t>
      </w:r>
      <w:r w:rsidRPr="00FC12B6">
        <w:rPr>
          <w:rFonts w:ascii="Times New Roman" w:hAnsi="Times New Roman" w:cs="Times New Roman"/>
          <w:b/>
          <w:kern w:val="1"/>
          <w:sz w:val="24"/>
          <w:szCs w:val="24"/>
        </w:rPr>
        <w:t>901 1 166  37040  10 0000 140 – «Поступление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 »;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расходов, указанных в пункте 3.4 настоящего Административного регламента за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числяемых в бюджет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(код администратора поступлений в бюджет, группы, подгруппы, статьи, подстатьи, элемента, программы (подпрограммы), кода экономической классификации доходов –</w:t>
      </w:r>
      <w:r w:rsidRPr="00FC12B6">
        <w:rPr>
          <w:rFonts w:ascii="Times New Roman" w:hAnsi="Times New Roman" w:cs="Times New Roman"/>
          <w:b/>
          <w:kern w:val="1"/>
          <w:sz w:val="24"/>
          <w:szCs w:val="24"/>
        </w:rPr>
        <w:t>901 1 13 03050 10 0000 130 – «Прочие доходы от оказания платных услуг  получателями средств бюджетов поселений и компенсации затрат государства бюджетов поселений»;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>(Приказ Минфина России от 21.12.2011 № 180н (ред. от 20.03.2012) «Об утверждении Указаний о порядке применения бюджетной классификации Российской Федерации».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2.4. Срок выдачи разрешения не должен превышать 10 рабочих дней. По истечении указанного периода заявитель должен явиться за получением разрешения лично с документами, указанными в настоящем Административным регламенте и подтверждающими оплату.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2.5. Пропуск десятидневного срока выдачи разрешения по вине заявителя не считается нарушением порядка выдачи разрешения. 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2.6. Срок выдачи разрешения приостановлению не подлежит.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lastRenderedPageBreak/>
        <w:t>2.7. Основаниями для отказа в выдачи разрешения являются: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неоплата заявителем государственной пошлины и иных платежей;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- несоответствие по форме и содержанию документов, представленных заявителем для получения разрешения; 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перевозимый опасный,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средств;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маршрут транспортного средства, осуществляющего перевозки опасных, тяжеловесных и (или) крупногабаритных грузов, предложенный заявителем, не соответствует маршруту, утвержденному в установленном порядке, или перевозка такого груза не представляется возможной с учетом интенсивности движения, технического состояния автомобильных дорог;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наличие сомнений в достоверности представленных заявителем сведений, если заявитель по требованию администрации поселения не явился с подтверждающими данные сведения документами;</w:t>
      </w:r>
    </w:p>
    <w:p w:rsidR="00FC12B6" w:rsidRPr="00FC12B6" w:rsidRDefault="00FC12B6" w:rsidP="00FC12B6">
      <w:pPr>
        <w:widowControl w:val="0"/>
        <w:suppressAutoHyphens/>
        <w:ind w:firstLine="708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отказ владельца или уполномоченного органа в согласовании маршрута транспортного средства.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2.8. В случае принятия решения об отказе в выдаче</w:t>
      </w:r>
      <w:r w:rsidR="00073F64">
        <w:rPr>
          <w:rFonts w:ascii="Times New Roman" w:hAnsi="Times New Roman" w:cs="Times New Roman"/>
          <w:kern w:val="1"/>
          <w:sz w:val="24"/>
          <w:szCs w:val="24"/>
        </w:rPr>
        <w:t xml:space="preserve"> разрешения Администрация поселения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готовит мотивированное заключение об отказе в выдаче разрешения. Возврат в таком случае государственной пошлины, уплаченной заявителем, из бюджета Молчановского сельского поселения, осуществляется в установленном законодательством порядке.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2.9. Разрешение выдается  в отделе 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ЖКХ  Администрации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.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Для получения разрешения заявитель: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2.9.1. Заполняет заявление (по форме согласно приложению №1 к настоящему Административному регламенту);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2.9.2. При наличии сомнений в достоверности представляемых заявителем сведений по требованию ответственного или иного лица Админ</w:t>
      </w:r>
      <w:r w:rsidR="00122E66">
        <w:rPr>
          <w:rFonts w:ascii="Times New Roman" w:hAnsi="Times New Roman" w:cs="Times New Roman"/>
          <w:kern w:val="1"/>
          <w:sz w:val="24"/>
          <w:szCs w:val="24"/>
        </w:rPr>
        <w:t>истрации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 до момента выдачи разрешения представляет иные документы, подтверждающие представленные сведения (технические паспорта на автотранспортные средства, прицепы, товарно-транспортные накладные на груз и др.).</w:t>
      </w:r>
    </w:p>
    <w:p w:rsidR="00FC12B6" w:rsidRPr="00FC12B6" w:rsidRDefault="00FC12B6" w:rsidP="00122E66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2.9.3. Направляет заявление с приложением необходимых документов по почте, факсу, либо доставляет лично.</w:t>
      </w:r>
    </w:p>
    <w:p w:rsidR="00FC12B6" w:rsidRPr="00FC12B6" w:rsidRDefault="00FC12B6" w:rsidP="00122E66">
      <w:pPr>
        <w:widowControl w:val="0"/>
        <w:suppressAutoHyphens/>
        <w:spacing w:after="0"/>
        <w:ind w:firstLine="708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2.10. К заявлению прилагаются следующие документы:</w:t>
      </w:r>
    </w:p>
    <w:p w:rsidR="00FC12B6" w:rsidRPr="00FC12B6" w:rsidRDefault="00FC12B6" w:rsidP="00122E66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копия паспорта для заявителя - физического лица либо документы о государственной регистрации юридического лица или физического лица в качестве индивидуального предпринимателя;</w:t>
      </w:r>
    </w:p>
    <w:p w:rsidR="00FC12B6" w:rsidRPr="00FC12B6" w:rsidRDefault="00FC12B6" w:rsidP="00122E66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lastRenderedPageBreak/>
        <w:t>- документы, подтверждающие полномочия заявителя;</w:t>
      </w:r>
    </w:p>
    <w:p w:rsidR="00FC12B6" w:rsidRPr="00FC12B6" w:rsidRDefault="00FC12B6" w:rsidP="00122E66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квитанция об оплате государственной пошлины за выдачу разрешения по форме (приложение №3, №4);</w:t>
      </w:r>
    </w:p>
    <w:p w:rsidR="00FC12B6" w:rsidRPr="00FC12B6" w:rsidRDefault="00FC12B6" w:rsidP="00122E66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схему автопоезда в случаях, предусмотренных законодательством;</w:t>
      </w:r>
    </w:p>
    <w:p w:rsidR="00FC12B6" w:rsidRPr="00FC12B6" w:rsidRDefault="00FC12B6" w:rsidP="00122E66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иные документы, представление которых предусмотрено правовыми актами Российской Федерации.</w:t>
      </w:r>
    </w:p>
    <w:p w:rsidR="00FC12B6" w:rsidRPr="00FC12B6" w:rsidRDefault="00FC12B6" w:rsidP="00122E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2.11. Показатели доступности и качества муниципальной услуги:</w:t>
      </w:r>
    </w:p>
    <w:p w:rsidR="00FC12B6" w:rsidRPr="00FC12B6" w:rsidRDefault="00FC12B6" w:rsidP="00122E66">
      <w:pPr>
        <w:spacing w:after="0"/>
        <w:ind w:left="6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Показатели доступности муниципальной услуги: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процедуры оказания муниципальной услуги;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наличие различных каналов получения муниципальной услуги;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доступность перечня документов и бланков заявлений на официальном с</w:t>
      </w:r>
      <w:r w:rsidR="00122E66">
        <w:rPr>
          <w:rFonts w:ascii="Times New Roman" w:hAnsi="Times New Roman" w:cs="Times New Roman"/>
          <w:sz w:val="24"/>
          <w:szCs w:val="24"/>
        </w:rPr>
        <w:t>айте Администрации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 в сети Интернет: </w:t>
      </w:r>
      <w:proofErr w:type="spellStart"/>
      <w:r w:rsidR="00122E66" w:rsidRPr="00CF68DC">
        <w:rPr>
          <w:rFonts w:ascii="Times New Roman" w:hAnsi="Times New Roman" w:cs="Times New Roman"/>
          <w:b/>
          <w:sz w:val="24"/>
          <w:szCs w:val="24"/>
        </w:rPr>
        <w:t>www.tsp.tomskinvest.ru</w:t>
      </w:r>
      <w:proofErr w:type="spellEnd"/>
      <w:r w:rsidR="00122E66" w:rsidRPr="00B34FEF">
        <w:rPr>
          <w:rFonts w:ascii="Times New Roman" w:hAnsi="Times New Roman" w:cs="Times New Roman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sz w:val="24"/>
          <w:szCs w:val="24"/>
        </w:rPr>
        <w:t xml:space="preserve">в разделе «Нормативно-правовая база – Регламенты по оказанию муниципальных услуг». 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время, затраченное потребителями на получение муниципальной услуги с момента обращения;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график ра</w:t>
      </w:r>
      <w:r w:rsidR="00122E66">
        <w:rPr>
          <w:rFonts w:ascii="Times New Roman" w:hAnsi="Times New Roman" w:cs="Times New Roman"/>
          <w:sz w:val="24"/>
          <w:szCs w:val="24"/>
        </w:rPr>
        <w:t>боты администрации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12B6" w:rsidRPr="00FC12B6" w:rsidRDefault="00FC12B6" w:rsidP="00122E66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Показатели качества муниципальной услуги: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соответствие требованиям настоящего Административного регламента;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качество подготовленных в процессе оказания муниципальной услуги документов;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соблюдение сроков предоставления услуг;</w:t>
      </w:r>
    </w:p>
    <w:p w:rsidR="00FC12B6" w:rsidRPr="00FC12B6" w:rsidRDefault="00FC12B6" w:rsidP="0012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отсутствие (наличие) нарушений требований законодательства о предоставлении муниципальных услуг.</w:t>
      </w:r>
    </w:p>
    <w:p w:rsidR="00FC12B6" w:rsidRPr="00FC12B6" w:rsidRDefault="00FC12B6" w:rsidP="0012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C12B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2B6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 при предоставлении  муниципальной услуги</w:t>
      </w:r>
    </w:p>
    <w:p w:rsidR="00FC12B6" w:rsidRPr="00FC12B6" w:rsidRDefault="00FC12B6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3.1. Заявитель направляет заявление, а при необходимости и приложения к нему, согласно установленной форм</w:t>
      </w:r>
      <w:r w:rsidR="002F04E5">
        <w:rPr>
          <w:rFonts w:ascii="Times New Roman" w:hAnsi="Times New Roman" w:cs="Times New Roman"/>
          <w:kern w:val="1"/>
          <w:sz w:val="24"/>
          <w:szCs w:val="24"/>
        </w:rPr>
        <w:t>е, в Администрацию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поселения.</w:t>
      </w:r>
    </w:p>
    <w:p w:rsidR="00FC12B6" w:rsidRPr="00FC12B6" w:rsidRDefault="002F04E5" w:rsidP="00FC12B6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3.2. Администрация Тунгусовского</w:t>
      </w:r>
      <w:r w:rsidR="00FC12B6"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согласовывает маршрут транспортного средства, осуществляющего перевозки опасных и (или) тяжеловесных грузов, с владельцами автомобильных дорог, по которым проходит такой маршрут, а маршрут транспортного средства, осуществляющего перевозки крупногабаритных грузов, с владельцами автомобильных дорог и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движения.</w:t>
      </w:r>
    </w:p>
    <w:p w:rsidR="00FC12B6" w:rsidRPr="00FC12B6" w:rsidRDefault="00FC12B6" w:rsidP="00FC12B6">
      <w:pPr>
        <w:widowControl w:val="0"/>
        <w:suppressAutoHyphens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3.3. В случаях, если для движения транспортного средства, осуществляющего перевозки тяжеловесных грузов,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маршрута, проводятся согласования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движения.</w:t>
      </w:r>
    </w:p>
    <w:p w:rsidR="00FC12B6" w:rsidRPr="00FC12B6" w:rsidRDefault="00FC12B6" w:rsidP="002F04E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3.4. В случаях, если для движения транспортного средства, осуществляющего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lastRenderedPageBreak/>
        <w:t>перевозки опасных,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владельцам таких автомобильных дорог, сооружений и инженерных коммуникаций расходы на осуществление указанной оценки и принятие указанных мер до получения разрешения.</w:t>
      </w:r>
    </w:p>
    <w:p w:rsidR="00FC12B6" w:rsidRPr="00FC12B6" w:rsidRDefault="00FC12B6" w:rsidP="002F04E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3.5. Допускается установление постоянных маршрутов транспортных средств, осуществляющих перевозки опасных, тяжеловесных и (или) крупногабаритных грузов. </w:t>
      </w:r>
    </w:p>
    <w:p w:rsidR="00FC12B6" w:rsidRPr="00FC12B6" w:rsidRDefault="00FC12B6" w:rsidP="002F04E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3.6. Плата за согласование маршрутов транспортных средств, осуществляющих перевозки опасных, тяжеловесных и (или) крупногабаритных грузов, не взимается.</w:t>
      </w:r>
    </w:p>
    <w:p w:rsidR="00FC12B6" w:rsidRPr="00FC12B6" w:rsidRDefault="00FC12B6" w:rsidP="002F04E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3.7. При наличии сомнений в достоверности представленных заявителем сведений ответственное </w:t>
      </w:r>
      <w:r w:rsidR="002F04E5">
        <w:rPr>
          <w:rFonts w:ascii="Times New Roman" w:hAnsi="Times New Roman" w:cs="Times New Roman"/>
          <w:kern w:val="1"/>
          <w:sz w:val="24"/>
          <w:szCs w:val="24"/>
        </w:rPr>
        <w:t>лицо Администрации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в любое время до выдачи разрешения может запросить у заявителя документы, подтверждающие представленные сведения.</w:t>
      </w:r>
    </w:p>
    <w:p w:rsidR="00FC12B6" w:rsidRPr="00FC12B6" w:rsidRDefault="00FC12B6" w:rsidP="002F04E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3.8. По итогам рассмотрения документов выносится мотивированный отказ или выдается разрешение при выполнении всех условий, предусмотренных настоящим Административном регламентом. </w:t>
      </w:r>
    </w:p>
    <w:p w:rsidR="00FC12B6" w:rsidRPr="00FC12B6" w:rsidRDefault="00FC12B6" w:rsidP="002F04E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3.9. До получения разрешения (до обращения за ним заявителя) заявитель производит оплату:</w:t>
      </w:r>
    </w:p>
    <w:p w:rsidR="00FC12B6" w:rsidRPr="00FC12B6" w:rsidRDefault="00FC12B6" w:rsidP="002F04E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а) за выдачу разрешения на движение по автомобильной дороге местного значения транспортного средства, осуществляющего перевозки (за исключением транспортного средства, осуществляющего международные автомобильные перевозки):</w:t>
      </w:r>
    </w:p>
    <w:p w:rsidR="00FC12B6" w:rsidRPr="00FC12B6" w:rsidRDefault="00FC12B6" w:rsidP="002F04E5">
      <w:pPr>
        <w:widowControl w:val="0"/>
        <w:suppressAutoHyphens/>
        <w:spacing w:after="0"/>
        <w:ind w:firstLine="113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- опасных грузов - 800 рублей;</w:t>
      </w:r>
    </w:p>
    <w:p w:rsidR="00FC12B6" w:rsidRPr="00FC12B6" w:rsidRDefault="00FC12B6" w:rsidP="002F04E5">
      <w:pPr>
        <w:widowControl w:val="0"/>
        <w:suppressAutoHyphens/>
        <w:spacing w:after="0"/>
        <w:ind w:firstLine="113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- тяжеловесных и (или) крупногабаритных грузов - 1 000 рублей </w:t>
      </w:r>
    </w:p>
    <w:p w:rsidR="00FC12B6" w:rsidRPr="00FC12B6" w:rsidRDefault="00FC12B6" w:rsidP="002F04E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(в соответствии с Налоговым кодексом Российской Федерации), о чем предоставляется квитанция об уплате, выдаваемая банком плательщика;</w:t>
      </w:r>
    </w:p>
    <w:p w:rsidR="00FC12B6" w:rsidRPr="00FC12B6" w:rsidRDefault="00FC12B6" w:rsidP="002F04E5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ab/>
        <w:t>б) расходов, указанных в п. 3.4 настоящего регламента;</w:t>
      </w:r>
    </w:p>
    <w:p w:rsidR="00FC12B6" w:rsidRPr="00FC12B6" w:rsidRDefault="00FC12B6" w:rsidP="002F04E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в) вреда, причиненного движением по автомобильным дорогам</w:t>
      </w:r>
      <w:r w:rsidRPr="00FC12B6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>местного значения транспортных средств, осуществляющих перевозки тяжеловесных грузов (в размере, установленном</w:t>
      </w:r>
      <w:r w:rsidRPr="00FC12B6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>предусмотренном</w:t>
      </w:r>
      <w:r w:rsidRPr="00FC12B6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постановлением Правительства РФ от 16 ноября </w:t>
      </w:r>
      <w:smartTag w:uri="urn:schemas-microsoft-com:office:smarttags" w:element="metricconverter">
        <w:smartTagPr>
          <w:attr w:name="ProductID" w:val="2009 г"/>
        </w:smartTagPr>
        <w:r w:rsidRPr="00FC12B6">
          <w:rPr>
            <w:rFonts w:ascii="Times New Roman" w:hAnsi="Times New Roman" w:cs="Times New Roman"/>
            <w:kern w:val="1"/>
            <w:sz w:val="24"/>
            <w:szCs w:val="24"/>
          </w:rPr>
          <w:t>2009 г</w:t>
        </w:r>
      </w:smartTag>
      <w:r w:rsidRPr="00FC12B6">
        <w:rPr>
          <w:rFonts w:ascii="Times New Roman" w:hAnsi="Times New Roman" w:cs="Times New Roman"/>
          <w:kern w:val="1"/>
          <w:sz w:val="24"/>
          <w:szCs w:val="24"/>
        </w:rPr>
        <w:t>.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Федерации, о чем предоставляется платежное поручение и выписка со счета об оплате суммы вреда).</w:t>
      </w:r>
    </w:p>
    <w:p w:rsidR="00FC12B6" w:rsidRPr="00FC12B6" w:rsidRDefault="00FC12B6" w:rsidP="002F04E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3.10. Без предоставления указанных документов, подтверждающих оплату государственной пошлины и иных платежей, разрешение выдаче не подлежит.</w:t>
      </w:r>
    </w:p>
    <w:p w:rsidR="00FC12B6" w:rsidRPr="00FC12B6" w:rsidRDefault="00FC12B6" w:rsidP="002F04E5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3.11. Дейс</w:t>
      </w:r>
      <w:r w:rsidR="002F04E5">
        <w:rPr>
          <w:rFonts w:ascii="Times New Roman" w:hAnsi="Times New Roman" w:cs="Times New Roman"/>
          <w:kern w:val="1"/>
          <w:sz w:val="24"/>
          <w:szCs w:val="24"/>
        </w:rPr>
        <w:t>твия Администрации Тунгусовского</w:t>
      </w:r>
      <w:r w:rsidRPr="00FC12B6">
        <w:rPr>
          <w:rFonts w:ascii="Times New Roman" w:hAnsi="Times New Roman" w:cs="Times New Roman"/>
          <w:kern w:val="1"/>
          <w:sz w:val="24"/>
          <w:szCs w:val="24"/>
        </w:rPr>
        <w:t xml:space="preserve"> сельского поселения по выдаче разрешения  считаются выполненными после выдачи заявителю разрешения (по форме согласно приложению №2 к настоящему Административному регламенту).</w:t>
      </w:r>
    </w:p>
    <w:p w:rsidR="00FC12B6" w:rsidRPr="00FC12B6" w:rsidRDefault="00FC12B6" w:rsidP="002F04E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3.12.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 фамилия, имя, отчество физического лица, получивших разрешение, роспись заявителя в получении разрешения.</w:t>
      </w:r>
    </w:p>
    <w:p w:rsidR="00FC12B6" w:rsidRPr="00FC12B6" w:rsidRDefault="00FC12B6" w:rsidP="002F04E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2F04E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lastRenderedPageBreak/>
        <w:t>4. Контроль за исполнением административного регламента.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4.1. Формы контроля за исполнением настоящего регламента: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Текущий контроль исполнения регламента осуществляется Главой сельского поселения, заместителем Главы сельского поселения, курирующего вопросы предоставления муниципальных услуг.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специалистами органа исполнительной власти области, организации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 проводится путем: оперативного выяснения хода выполнения административных процедур, напоминаний о своевременном выполнении административных действий, истребования от ответственных исполнителей объяснений причин задержки осуществления административных действий.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контроля: один раз в квартал.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муниципальных услуг.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Органа.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Формами контроля за полнотой и качеством предоставления муниципальной услуги являются: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- рассмотрение отчетов и справок о предоставлении муниципальной услуги; 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- проведение плановых и внеплановых проверок полноты и качества предоставления муниципальной услуги.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Главой Молчановского сельского поселения, либо его заместителем курирующего вопросы предоставления муниципальных услуг.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распоряжения Г</w:t>
      </w:r>
      <w:r w:rsidR="00F15D69">
        <w:rPr>
          <w:rFonts w:ascii="Times New Roman" w:hAnsi="Times New Roman" w:cs="Times New Roman"/>
          <w:sz w:val="24"/>
          <w:szCs w:val="24"/>
        </w:rPr>
        <w:t>лавы Администрации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реже одного раза в год, внеплановые – в случае поступления жалоб на действия (бездействие) и решения должностных лиц специалистов (должностных лиц), осуществляемые (принятые) в ходе предоставления муниципальной услуги (иных случаев).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lastRenderedPageBreak/>
        <w:t>Результаты проверки оформляются в виде справки, в которой отмечаются выявленные недостатки и указываются предложения по их усмотрению. Справка по</w:t>
      </w:r>
      <w:r w:rsidR="00F15D69">
        <w:rPr>
          <w:rFonts w:ascii="Times New Roman" w:hAnsi="Times New Roman" w:cs="Times New Roman"/>
          <w:sz w:val="24"/>
          <w:szCs w:val="24"/>
        </w:rPr>
        <w:t>дписывается Главой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заявителей в соответствии со своей должностной инструкцией несет персональную ответственность за надлежащие прием и регистрацию заявлений, своевременную их передачу руководителю.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заявлений, правильность оформления и качество подготовки документов.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в) требования к порядку и формам контроля за предоставлением муниципальной услуги со стороны физических и юридических лиц.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1) Контроль за рассмотрением своих заявлений могут осуществлять заявители на основании полученной в Администрации информации. 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услуги;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C12B6" w:rsidRPr="00FC12B6" w:rsidRDefault="00FC12B6" w:rsidP="002F04E5">
      <w:pPr>
        <w:spacing w:after="0"/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B6" w:rsidRPr="00FC12B6" w:rsidRDefault="00FC12B6" w:rsidP="002F04E5">
      <w:pPr>
        <w:spacing w:after="0"/>
        <w:ind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решений и действий (бездействия) органов предоставляющих муниципальную услугу, а также должностных лиц, муниципальных служащих.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5.1. Досудебное (внесудебное) обжалование заявителем решений и действий (бездействия) специалистов, предоставляющих муниципальную услугу: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 w:rsidRPr="00FC12B6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муниципальными правовыми актами для предоставления муниципальной услуги; 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2B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12B6">
        <w:rPr>
          <w:rFonts w:ascii="Times New Roman" w:hAnsi="Times New Roman" w:cs="Times New Roman"/>
          <w:sz w:val="24"/>
          <w:szCs w:val="24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FC12B6" w:rsidRPr="00FC12B6" w:rsidRDefault="00FC12B6" w:rsidP="002F04E5">
      <w:pPr>
        <w:spacing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ж) отказ специалиста, предоставляющего муниципальную услугу, в исправлении допущенных опечаток и ошибок в результате предоставления муниципальной услуги документах либо нарушение установленного срока таких исправлений.</w:t>
      </w:r>
    </w:p>
    <w:p w:rsidR="00FC12B6" w:rsidRPr="00FC12B6" w:rsidRDefault="00FC12B6" w:rsidP="002F04E5">
      <w:pPr>
        <w:spacing w:after="0"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жалобы: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1. Жалоба подается в письменной форме на бумажном носителе, в электронной форме на имя Главы Молчановского сельского поселения.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2. Жалоба может быть направлена по почте, с использованием информационно- телекоммуникационной сети "Интернет", официального с</w:t>
      </w:r>
      <w:r w:rsidR="00F15D69">
        <w:rPr>
          <w:rFonts w:ascii="Times New Roman" w:hAnsi="Times New Roman" w:cs="Times New Roman"/>
          <w:sz w:val="24"/>
          <w:szCs w:val="24"/>
        </w:rPr>
        <w:t>айта Администрации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Администрации, предоставляющей государственную о муниципальную услугу, решения и действия (бездействие) которых обжалуются;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Жалоба, поступивш</w:t>
      </w:r>
      <w:r w:rsidR="00F15D69">
        <w:rPr>
          <w:rFonts w:ascii="Times New Roman" w:hAnsi="Times New Roman" w:cs="Times New Roman"/>
          <w:sz w:val="24"/>
          <w:szCs w:val="24"/>
        </w:rPr>
        <w:t>ая в Администрацию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жа</w:t>
      </w:r>
      <w:r w:rsidR="00F15D69">
        <w:rPr>
          <w:rFonts w:ascii="Times New Roman" w:hAnsi="Times New Roman" w:cs="Times New Roman"/>
          <w:sz w:val="24"/>
          <w:szCs w:val="24"/>
        </w:rPr>
        <w:t>лобы Администрация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предоставляющая муниципальную услугу, принимает одно из следующих решений: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12B6" w:rsidRPr="00FC12B6" w:rsidRDefault="00FC12B6" w:rsidP="002F04E5">
      <w:pPr>
        <w:spacing w:after="0"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Молчановского района.</w:t>
      </w:r>
    </w:p>
    <w:p w:rsidR="00FC12B6" w:rsidRPr="00FC12B6" w:rsidRDefault="00FC12B6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C12B6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Тунгусовского</w:t>
      </w:r>
      <w:r w:rsidR="00FC12B6" w:rsidRPr="00FC12B6">
        <w:rPr>
          <w:rFonts w:ascii="Times New Roman" w:hAnsi="Times New Roman" w:cs="Times New Roman"/>
          <w:sz w:val="24"/>
          <w:szCs w:val="24"/>
        </w:rPr>
        <w:t xml:space="preserve"> 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Н.А.Аксиненко</w:t>
      </w:r>
      <w:proofErr w:type="spellEnd"/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15D69" w:rsidRPr="00FC12B6" w:rsidRDefault="00F15D69" w:rsidP="002F04E5">
      <w:pPr>
        <w:spacing w:after="0"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2B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FC12B6" w:rsidRPr="00FC12B6" w:rsidRDefault="00FC12B6" w:rsidP="00F15D69">
      <w:pPr>
        <w:spacing w:after="0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12B6" w:rsidRPr="00FC12B6" w:rsidRDefault="00FC12B6" w:rsidP="00F15D69">
      <w:pPr>
        <w:spacing w:after="0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15D69" w:rsidP="00F15D69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Тунгусовского</w:t>
      </w:r>
      <w:r w:rsidR="00FC12B6" w:rsidRPr="00FC12B6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FC12B6" w:rsidRPr="00FC12B6" w:rsidRDefault="00F15D69" w:rsidP="00F15D69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Н.А.Аксиненко</w:t>
      </w:r>
      <w:proofErr w:type="spellEnd"/>
    </w:p>
    <w:p w:rsidR="00FC12B6" w:rsidRPr="00FC12B6" w:rsidRDefault="00FC12B6" w:rsidP="00F15D69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FC12B6" w:rsidRPr="00FC12B6" w:rsidRDefault="00FC12B6" w:rsidP="00F15D69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ЗАЯВЛЕНИЕ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на получение  разрешения на движение по автомобильным дорогам транспортного средства, осуществляющего перевозки опасных, тяжеловесных и (или) крупногабаритных</w:t>
      </w:r>
      <w:r w:rsidR="00F15D69">
        <w:rPr>
          <w:rFonts w:ascii="Times New Roman" w:hAnsi="Times New Roman" w:cs="Times New Roman"/>
          <w:sz w:val="24"/>
          <w:szCs w:val="24"/>
        </w:rPr>
        <w:t xml:space="preserve"> грузов в границах Тунгусовского</w:t>
      </w:r>
      <w:r w:rsidRPr="00FC12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Наименование, адрес, расчетный счет и телефон перевозчика груза 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Маршрут движения 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Вид необходимого разрешения: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разовое на __________ перевозок по маршруту с _______ по 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на срок с _________ по __________ количество перевозок 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Характеристика груза (наименование, габариты, масса) 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Параметры  автопоезда  (марка,  модель,  регистрационный знак транспортного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средства и прицепа) 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расстояние между осями 1 ____ 2 ____ 3 ____ 4 ____ 5 ____ 6 ___ 7 и т.д., м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нагрузки на оси ____   ____   ____   ____   ____   ____ т,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полная масса ______ м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габариты: длина ______ м, ширина ______ м, высота ______ м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Должность и фамилия перевозчика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груза, подавшего заявку 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Дата подачи заявки 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                                                М.П.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widowControl w:val="0"/>
        <w:suppressAutoHyphens/>
        <w:spacing w:after="0"/>
        <w:ind w:firstLine="708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i/>
          <w:kern w:val="1"/>
          <w:sz w:val="24"/>
          <w:szCs w:val="24"/>
        </w:rPr>
        <w:t>К заявлению прилагаются следующие документы:</w:t>
      </w:r>
    </w:p>
    <w:p w:rsidR="00FC12B6" w:rsidRPr="00FC12B6" w:rsidRDefault="00FC12B6" w:rsidP="00F15D6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i/>
          <w:kern w:val="1"/>
          <w:sz w:val="24"/>
          <w:szCs w:val="24"/>
        </w:rPr>
        <w:t>- копия паспорта для заявителя - физического лица либо документы о государственной регистрации юридического лица или физического лица в качестве индивидуального предпринимателя;</w:t>
      </w:r>
    </w:p>
    <w:p w:rsidR="00FC12B6" w:rsidRPr="00FC12B6" w:rsidRDefault="00FC12B6" w:rsidP="00F15D6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i/>
          <w:kern w:val="1"/>
          <w:sz w:val="24"/>
          <w:szCs w:val="24"/>
        </w:rPr>
        <w:t>- документы, подтверждающие полномочия заявителя;</w:t>
      </w:r>
    </w:p>
    <w:p w:rsidR="00FC12B6" w:rsidRPr="00FC12B6" w:rsidRDefault="00FC12B6" w:rsidP="00F15D6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i/>
          <w:kern w:val="1"/>
          <w:sz w:val="24"/>
          <w:szCs w:val="24"/>
        </w:rPr>
        <w:t>- квитанция об оплате государственной пошлины за выдачу разрешения;</w:t>
      </w:r>
    </w:p>
    <w:p w:rsidR="00FC12B6" w:rsidRPr="00FC12B6" w:rsidRDefault="00FC12B6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i/>
          <w:kern w:val="1"/>
          <w:sz w:val="24"/>
          <w:szCs w:val="24"/>
        </w:rPr>
        <w:t>- схему автопоезда в случаях, предусмотренных законодательством;</w:t>
      </w:r>
    </w:p>
    <w:p w:rsidR="00FC12B6" w:rsidRPr="00FC12B6" w:rsidRDefault="00FC12B6" w:rsidP="00F15D6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i/>
          <w:kern w:val="1"/>
          <w:sz w:val="24"/>
          <w:szCs w:val="24"/>
        </w:rPr>
        <w:t>- иные документы, представление которых предусмотрено правовыми актами Российской Федерации.</w:t>
      </w:r>
    </w:p>
    <w:p w:rsidR="00FC12B6" w:rsidRPr="00FC12B6" w:rsidRDefault="00FC12B6" w:rsidP="00F15D6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F15D69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F15D69">
      <w:pPr>
        <w:widowControl w:val="0"/>
        <w:suppressAutoHyphens/>
        <w:spacing w:after="0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2B6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FC12B6" w:rsidRPr="00FC12B6" w:rsidRDefault="00FC12B6" w:rsidP="00F15D69">
      <w:pPr>
        <w:spacing w:after="0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12B6" w:rsidRPr="00C26E25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sz w:val="10"/>
          <w:szCs w:val="10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2B6">
        <w:rPr>
          <w:rFonts w:ascii="Times New Roman" w:hAnsi="Times New Roman" w:cs="Times New Roman"/>
          <w:b/>
          <w:sz w:val="24"/>
          <w:szCs w:val="24"/>
        </w:rPr>
        <w:t>на движение транспортного средства, осуществляющего перевозку опасного, крупногабаритного и (или) тяжеловесного груза по автомобильным дорогам общего пользования местного з</w:t>
      </w:r>
      <w:r w:rsidR="00F15D69">
        <w:rPr>
          <w:rFonts w:ascii="Times New Roman" w:hAnsi="Times New Roman" w:cs="Times New Roman"/>
          <w:b/>
          <w:sz w:val="24"/>
          <w:szCs w:val="24"/>
        </w:rPr>
        <w:t>начения в границах Тунгусовского</w:t>
      </w:r>
      <w:r w:rsidRPr="00FC12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от «_____» _____________ 20___ г.                                                            № 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Наименование перевозчика 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Вид разрешения (разовое, на срок) 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Разрешено выполнить _______ поездок в период с _______ по 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по маршруту 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Транспортное средство (марка, регистрационный знак тягача и прицепа) 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Характеристика груза (наименование, габариты, масса) ____________________________________________________________________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Параметры транспортного средства: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полная масса с грузом ______________ т, в т.ч.: масса тягача ___________ т,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расстояние между осями 1 ____ 2 ____ 3 ____ 4 ____ 5 ____ 6 ____ </w:t>
      </w:r>
      <w:smartTag w:uri="urn:schemas-microsoft-com:office:smarttags" w:element="metricconverter">
        <w:smartTagPr>
          <w:attr w:name="ProductID" w:val="7 м"/>
        </w:smartTagPr>
        <w:r w:rsidRPr="00FC12B6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FC12B6">
        <w:rPr>
          <w:rFonts w:ascii="Times New Roman" w:hAnsi="Times New Roman" w:cs="Times New Roman"/>
          <w:sz w:val="24"/>
          <w:szCs w:val="24"/>
        </w:rPr>
        <w:t>,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нагрузки на оси ____   ____   ____   ____   ____   ____ т,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габариты: длина ______ м, ширина ______ м, высота ______ м.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Разрешение выдано                ____________________________________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 xml:space="preserve">               (должность, фамилия, и.о., подпись)</w:t>
      </w:r>
    </w:p>
    <w:p w:rsidR="00FC12B6" w:rsidRPr="00FC12B6" w:rsidRDefault="00FC12B6" w:rsidP="00F15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FC12B6" w:rsidRPr="00FC12B6" w:rsidRDefault="00FC12B6" w:rsidP="00F15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E41147" w:rsidP="00F15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sub_1007" w:history="1">
        <w:r w:rsidR="00FC12B6" w:rsidRPr="00FC12B6">
          <w:rPr>
            <w:rFonts w:ascii="Times New Roman" w:hAnsi="Times New Roman" w:cs="Times New Roman"/>
            <w:sz w:val="24"/>
            <w:szCs w:val="24"/>
          </w:rPr>
          <w:t>Организации, согласовавшие маршрут</w:t>
        </w:r>
      </w:hyperlink>
      <w:r w:rsidR="00FC12B6" w:rsidRPr="00FC12B6">
        <w:rPr>
          <w:rFonts w:ascii="Times New Roman" w:hAnsi="Times New Roman" w:cs="Times New Roman"/>
          <w:sz w:val="24"/>
          <w:szCs w:val="24"/>
        </w:rPr>
        <w:t xml:space="preserve"> (указать организации, с которыми орган, выдавший разрешение, согласовал маршрут транспортного средства, осуществляющих перевозки опасных, тяжеловесных и (или) крупногабаритных грузов):</w:t>
      </w:r>
    </w:p>
    <w:p w:rsidR="00FC12B6" w:rsidRPr="00FC12B6" w:rsidRDefault="00FC12B6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1.______________________________________________________________</w:t>
      </w:r>
    </w:p>
    <w:p w:rsidR="00FC12B6" w:rsidRDefault="00FC12B6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kern w:val="1"/>
          <w:sz w:val="24"/>
          <w:szCs w:val="24"/>
        </w:rPr>
        <w:t>2.______________________________________________________________</w:t>
      </w:r>
    </w:p>
    <w:p w:rsidR="00F15D69" w:rsidRDefault="00F15D69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15D69" w:rsidRDefault="00F15D69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15D69" w:rsidRDefault="00F15D69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15D69" w:rsidRPr="00FC12B6" w:rsidRDefault="00F15D69" w:rsidP="00F15D69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C12B6" w:rsidRPr="00FC12B6" w:rsidRDefault="00FC12B6" w:rsidP="00F1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2B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3</w:t>
      </w:r>
    </w:p>
    <w:p w:rsidR="00FC12B6" w:rsidRPr="00FC12B6" w:rsidRDefault="00FC12B6" w:rsidP="00F15D69">
      <w:pPr>
        <w:spacing w:after="0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12B6" w:rsidRPr="00FC12B6" w:rsidRDefault="00FC12B6" w:rsidP="00F15D69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i/>
          <w:iCs/>
          <w:kern w:val="1"/>
          <w:sz w:val="24"/>
          <w:szCs w:val="24"/>
        </w:rPr>
      </w:pPr>
    </w:p>
    <w:p w:rsidR="00FC12B6" w:rsidRPr="00FC12B6" w:rsidRDefault="00FC12B6" w:rsidP="00F15D6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Квитанция на оплату госпошлины</w:t>
      </w:r>
    </w:p>
    <w:p w:rsidR="00FC12B6" w:rsidRPr="00FC12B6" w:rsidRDefault="00FC12B6" w:rsidP="00F15D69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kern w:val="1"/>
          <w:sz w:val="24"/>
          <w:szCs w:val="24"/>
        </w:rPr>
      </w:pPr>
    </w:p>
    <w:tbl>
      <w:tblPr>
        <w:tblW w:w="9938" w:type="dxa"/>
        <w:tblInd w:w="93" w:type="dxa"/>
        <w:tblLook w:val="0000"/>
      </w:tblPr>
      <w:tblGrid>
        <w:gridCol w:w="2123"/>
        <w:gridCol w:w="1063"/>
        <w:gridCol w:w="424"/>
        <w:gridCol w:w="447"/>
        <w:gridCol w:w="120"/>
        <w:gridCol w:w="516"/>
        <w:gridCol w:w="251"/>
        <w:gridCol w:w="214"/>
        <w:gridCol w:w="202"/>
        <w:gridCol w:w="1057"/>
        <w:gridCol w:w="319"/>
        <w:gridCol w:w="186"/>
        <w:gridCol w:w="519"/>
        <w:gridCol w:w="388"/>
        <w:gridCol w:w="1082"/>
        <w:gridCol w:w="1027"/>
      </w:tblGrid>
      <w:tr w:rsidR="00FC12B6" w:rsidRPr="00FC12B6" w:rsidTr="00122E66">
        <w:trPr>
          <w:trHeight w:val="19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</w:t>
            </w:r>
          </w:p>
        </w:tc>
        <w:tc>
          <w:tcPr>
            <w:tcW w:w="36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</w:tc>
        <w:tc>
          <w:tcPr>
            <w:tcW w:w="3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УФК  </w:t>
            </w:r>
            <w:r w:rsidR="00F1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Томской области (Тунгусовское</w:t>
            </w: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поселение)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*: ИНН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7010005554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701001001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платежа:</w:t>
            </w:r>
          </w:p>
        </w:tc>
        <w:tc>
          <w:tcPr>
            <w:tcW w:w="40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40101810900000010007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ГРКЦ ГУ Банка России по Томской области г.Томск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046015001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КОРСЧЕТ: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выдачу разрешения на движение по автомобильным дорогам транспортных средств, осуществляющих перевозки опасных грузов</w:t>
            </w:r>
          </w:p>
        </w:tc>
      </w:tr>
      <w:tr w:rsidR="00FC12B6" w:rsidRPr="00FC12B6" w:rsidTr="00122E66">
        <w:trPr>
          <w:trHeight w:val="21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классификации:</w:t>
            </w: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901108071775010000110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ОКАТО:69240825000</w:t>
            </w:r>
          </w:p>
        </w:tc>
      </w:tr>
      <w:tr w:rsidR="00FC12B6" w:rsidRPr="00FC12B6" w:rsidTr="00122E66">
        <w:trPr>
          <w:trHeight w:val="28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Плательщик 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Адрес плательщика: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19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платежа: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800 руб.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платы за услуги (%):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19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Итого:                                            руб.                    00 коп. </w:t>
            </w:r>
          </w:p>
        </w:tc>
      </w:tr>
      <w:tr w:rsidR="00FC12B6" w:rsidRPr="00FC12B6" w:rsidTr="00122E66">
        <w:trPr>
          <w:trHeight w:val="19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Плательщик (подпись):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FC12B6" w:rsidRPr="00FC12B6" w:rsidTr="00122E66">
        <w:trPr>
          <w:trHeight w:val="1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19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</w:tc>
        <w:tc>
          <w:tcPr>
            <w:tcW w:w="3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УФК  </w:t>
            </w:r>
            <w:r w:rsidR="00F1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Томской Области (Тунгусовского</w:t>
            </w: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поселение)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7010005554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701001001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платежа:</w:t>
            </w:r>
          </w:p>
        </w:tc>
        <w:tc>
          <w:tcPr>
            <w:tcW w:w="40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122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40101810900000010007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ГРКЦ ГУ Банка России по Томской области </w:t>
            </w: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г.Томск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046902001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КОРСЧЕТ: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выдачу разрешения на движение по автомобильным дорогам транспортных средств, осуществляющих перевозки опасных грузов</w:t>
            </w:r>
          </w:p>
        </w:tc>
      </w:tr>
      <w:tr w:rsidR="00FC12B6" w:rsidRPr="00FC12B6" w:rsidTr="00122E66">
        <w:trPr>
          <w:trHeight w:val="21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классификации:</w:t>
            </w: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90110807175010000110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ОКАТО:69240825000</w:t>
            </w:r>
          </w:p>
        </w:tc>
      </w:tr>
      <w:tr w:rsidR="00FC12B6" w:rsidRPr="00FC12B6" w:rsidTr="00122E66">
        <w:trPr>
          <w:trHeight w:val="28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Плательщик 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Адрес плательщика: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21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платежа: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800 руб.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22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КВИТАНЦИЯ</w:t>
            </w:r>
          </w:p>
        </w:tc>
        <w:tc>
          <w:tcPr>
            <w:tcW w:w="1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платы за услуги (%):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19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Итого:                                            руб.                    00 коп. </w:t>
            </w:r>
          </w:p>
        </w:tc>
      </w:tr>
      <w:tr w:rsidR="00FC12B6" w:rsidRPr="00FC12B6" w:rsidTr="00122E66">
        <w:trPr>
          <w:trHeight w:val="19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Плательщик (подпись):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FC12B6" w:rsidRPr="00FC12B6" w:rsidTr="00122E66">
        <w:trPr>
          <w:trHeight w:val="1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2B6" w:rsidRPr="00FC12B6" w:rsidRDefault="00FC12B6" w:rsidP="00F15D69">
      <w:pPr>
        <w:spacing w:after="0"/>
        <w:ind w:left="6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2B6">
        <w:rPr>
          <w:rFonts w:ascii="Times New Roman" w:hAnsi="Times New Roman" w:cs="Times New Roman"/>
          <w:b/>
          <w:i/>
          <w:sz w:val="24"/>
          <w:szCs w:val="24"/>
        </w:rPr>
        <w:t>Приложение № 4</w:t>
      </w:r>
    </w:p>
    <w:p w:rsidR="00FC12B6" w:rsidRPr="00FC12B6" w:rsidRDefault="00FC12B6" w:rsidP="00F15D69">
      <w:pPr>
        <w:spacing w:after="0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FC12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12B6" w:rsidRPr="00FC12B6" w:rsidRDefault="00FC12B6" w:rsidP="00F15D69">
      <w:pPr>
        <w:widowControl w:val="0"/>
        <w:suppressAutoHyphens/>
        <w:spacing w:after="0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FC12B6" w:rsidRPr="00FC12B6" w:rsidRDefault="00FC12B6" w:rsidP="00F15D6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FC12B6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Квитанция на оплату госпошлины</w:t>
      </w:r>
    </w:p>
    <w:p w:rsidR="00FC12B6" w:rsidRPr="00FC12B6" w:rsidRDefault="00FC12B6" w:rsidP="00F15D69">
      <w:pPr>
        <w:widowControl w:val="0"/>
        <w:suppressAutoHyphens/>
        <w:spacing w:after="0"/>
        <w:jc w:val="right"/>
        <w:rPr>
          <w:rFonts w:ascii="Times New Roman" w:hAnsi="Times New Roman" w:cs="Times New Roman"/>
          <w:bCs/>
          <w:kern w:val="1"/>
          <w:sz w:val="24"/>
          <w:szCs w:val="24"/>
        </w:rPr>
      </w:pPr>
    </w:p>
    <w:tbl>
      <w:tblPr>
        <w:tblW w:w="9938" w:type="dxa"/>
        <w:tblInd w:w="93" w:type="dxa"/>
        <w:tblLook w:val="0000"/>
      </w:tblPr>
      <w:tblGrid>
        <w:gridCol w:w="2329"/>
        <w:gridCol w:w="754"/>
        <w:gridCol w:w="519"/>
        <w:gridCol w:w="535"/>
        <w:gridCol w:w="120"/>
        <w:gridCol w:w="538"/>
        <w:gridCol w:w="246"/>
        <w:gridCol w:w="210"/>
        <w:gridCol w:w="196"/>
        <w:gridCol w:w="999"/>
        <w:gridCol w:w="312"/>
        <w:gridCol w:w="177"/>
        <w:gridCol w:w="506"/>
        <w:gridCol w:w="388"/>
        <w:gridCol w:w="1082"/>
        <w:gridCol w:w="1027"/>
      </w:tblGrid>
      <w:tr w:rsidR="00FC12B6" w:rsidRPr="00FC12B6" w:rsidTr="00122E66">
        <w:trPr>
          <w:trHeight w:val="195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</w:t>
            </w:r>
          </w:p>
        </w:tc>
        <w:tc>
          <w:tcPr>
            <w:tcW w:w="3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</w:tc>
        <w:tc>
          <w:tcPr>
            <w:tcW w:w="3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15D69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УФК  по Томской области (Тунгусовское</w:t>
            </w:r>
            <w:r w:rsidR="00FC12B6"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поселение)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7010005554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701001001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платежа:</w:t>
            </w:r>
          </w:p>
        </w:tc>
        <w:tc>
          <w:tcPr>
            <w:tcW w:w="40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4010181090000001007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ГРКЦ ГУ Банка России по Томской области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046015001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КОРСЧЕТ: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выдачу разрешения на движение по автомобильным дорогам транспортных средств, осуществляющих перевозки тяжеловесных и (или) крупногабаритных грузов</w:t>
            </w:r>
          </w:p>
        </w:tc>
      </w:tr>
      <w:tr w:rsidR="00FC12B6" w:rsidRPr="00FC12B6" w:rsidTr="00122E66">
        <w:trPr>
          <w:trHeight w:val="210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FC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классификации:</w:t>
            </w: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90110807175010000110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ОКАТО:69240825000</w:t>
            </w:r>
          </w:p>
        </w:tc>
      </w:tr>
      <w:tr w:rsidR="00FC12B6" w:rsidRPr="00FC12B6" w:rsidTr="00122E66">
        <w:trPr>
          <w:trHeight w:val="28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Плательщик 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Адрес плательщика: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19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платежа: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60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270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платы за услуги (%):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19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Итого:                                            руб.                    00 коп. </w:t>
            </w:r>
          </w:p>
        </w:tc>
      </w:tr>
      <w:tr w:rsidR="00FC12B6" w:rsidRPr="00FC12B6" w:rsidTr="00122E66">
        <w:trPr>
          <w:trHeight w:val="19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Плательщик (подпись):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FC12B6" w:rsidRPr="00FC12B6" w:rsidTr="00122E66">
        <w:trPr>
          <w:trHeight w:val="150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19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платежа:</w:t>
            </w:r>
          </w:p>
        </w:tc>
        <w:tc>
          <w:tcPr>
            <w:tcW w:w="3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УФК  </w:t>
            </w:r>
            <w:r w:rsidR="00F1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Томской области Тунгусовское</w:t>
            </w: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поселение)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7010005554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701001001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платежа:</w:t>
            </w:r>
          </w:p>
        </w:tc>
        <w:tc>
          <w:tcPr>
            <w:tcW w:w="40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40101810900000010007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ГРКЦ ГУ Банка России по Томской области г.Томск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046902001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КОРСЧЕТ: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платежа:</w:t>
            </w:r>
          </w:p>
        </w:tc>
        <w:tc>
          <w:tcPr>
            <w:tcW w:w="5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выдачу разрешения на движение по автомобильным дорогам транспортных средств, осуществляющих перевозки тяжеловесных и (или) крупногабаритных грузов</w:t>
            </w:r>
          </w:p>
        </w:tc>
      </w:tr>
      <w:tr w:rsidR="00FC12B6" w:rsidRPr="00FC12B6" w:rsidTr="00122E66">
        <w:trPr>
          <w:trHeight w:val="210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классификации:</w:t>
            </w:r>
          </w:p>
        </w:tc>
        <w:tc>
          <w:tcPr>
            <w:tcW w:w="2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90110807175010000110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ОКАТО:69240825000</w:t>
            </w:r>
          </w:p>
        </w:tc>
      </w:tr>
      <w:tr w:rsidR="00FC12B6" w:rsidRPr="00FC12B6" w:rsidTr="00122E66">
        <w:trPr>
          <w:trHeight w:val="28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Плательщик 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Адрес плательщика:</w:t>
            </w:r>
          </w:p>
        </w:tc>
        <w:tc>
          <w:tcPr>
            <w:tcW w:w="5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210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платежа: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22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КВИТАНЦИЯ</w:t>
            </w:r>
          </w:p>
        </w:tc>
        <w:tc>
          <w:tcPr>
            <w:tcW w:w="1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B6" w:rsidRPr="00FC12B6" w:rsidTr="00122E66">
        <w:trPr>
          <w:trHeight w:val="270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Сумма платы за услуги (%):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</w:p>
        </w:tc>
      </w:tr>
      <w:tr w:rsidR="00FC12B6" w:rsidRPr="00FC12B6" w:rsidTr="00122E66">
        <w:trPr>
          <w:trHeight w:val="19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Итого:                                            руб.                    00 коп. </w:t>
            </w:r>
          </w:p>
        </w:tc>
      </w:tr>
      <w:tr w:rsidR="00FC12B6" w:rsidRPr="00FC12B6" w:rsidTr="00122E66">
        <w:trPr>
          <w:trHeight w:val="195"/>
        </w:trPr>
        <w:tc>
          <w:tcPr>
            <w:tcW w:w="3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Плательщик (подпись):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FC12B6" w:rsidRPr="00FC12B6" w:rsidTr="00122E66">
        <w:trPr>
          <w:trHeight w:val="150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2B6" w:rsidRPr="00FC12B6" w:rsidRDefault="00FC12B6" w:rsidP="00F15D6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9102A0" w:rsidRPr="00FC12B6" w:rsidRDefault="009102A0" w:rsidP="00F15D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02A0" w:rsidRPr="00FC12B6" w:rsidSect="00B8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FC12B6"/>
    <w:rsid w:val="00073F64"/>
    <w:rsid w:val="00122E66"/>
    <w:rsid w:val="002F04E5"/>
    <w:rsid w:val="009102A0"/>
    <w:rsid w:val="00B87075"/>
    <w:rsid w:val="00E41147"/>
    <w:rsid w:val="00F15D69"/>
    <w:rsid w:val="00FC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2B6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FC1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Николай Александрович</dc:creator>
  <cp:keywords/>
  <dc:description/>
  <cp:lastModifiedBy>Аксиненко Николай Александрович</cp:lastModifiedBy>
  <cp:revision>4</cp:revision>
  <dcterms:created xsi:type="dcterms:W3CDTF">2015-03-17T09:58:00Z</dcterms:created>
  <dcterms:modified xsi:type="dcterms:W3CDTF">2015-03-20T04:18:00Z</dcterms:modified>
</cp:coreProperties>
</file>